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F9" w:rsidRPr="00F53520" w:rsidRDefault="006A3169" w:rsidP="007425FD">
      <w:pPr>
        <w:pStyle w:val="NoSpacing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Chemistry</w:t>
      </w:r>
      <w:r w:rsidR="00EB0D87" w:rsidRPr="00F53520">
        <w:rPr>
          <w:rFonts w:ascii="Arial" w:hAnsi="Arial" w:cs="Arial"/>
          <w:b/>
        </w:rPr>
        <w:t xml:space="preserve"> NMR Center </w:t>
      </w:r>
      <w:r w:rsidR="00796934">
        <w:rPr>
          <w:rFonts w:ascii="Arial" w:hAnsi="Arial" w:cs="Arial"/>
          <w:b/>
        </w:rPr>
        <w:t>Instrumentation</w:t>
      </w:r>
    </w:p>
    <w:p w:rsidR="007425FD" w:rsidRPr="00F53520" w:rsidRDefault="007425FD" w:rsidP="007425FD">
      <w:pPr>
        <w:pStyle w:val="NoSpacing"/>
        <w:rPr>
          <w:rFonts w:ascii="Arial" w:hAnsi="Arial" w:cs="Arial"/>
        </w:rPr>
      </w:pPr>
    </w:p>
    <w:p w:rsidR="007425FD" w:rsidRPr="00F53520" w:rsidRDefault="007425FD" w:rsidP="00E5267B">
      <w:pPr>
        <w:pStyle w:val="NoSpacing"/>
        <w:spacing w:after="60"/>
        <w:outlineLvl w:val="0"/>
        <w:rPr>
          <w:rFonts w:ascii="Arial" w:hAnsi="Arial" w:cs="Arial"/>
          <w:b/>
          <w:u w:val="single"/>
        </w:rPr>
      </w:pPr>
      <w:r w:rsidRPr="00F53520">
        <w:rPr>
          <w:rFonts w:ascii="Arial" w:hAnsi="Arial" w:cs="Arial"/>
          <w:b/>
          <w:u w:val="single"/>
        </w:rPr>
        <w:t>General</w:t>
      </w:r>
    </w:p>
    <w:p w:rsidR="001844BE" w:rsidRPr="00F53520" w:rsidRDefault="001844BE" w:rsidP="007425FD">
      <w:pPr>
        <w:pStyle w:val="NoSpacing"/>
        <w:rPr>
          <w:rFonts w:ascii="Arial" w:hAnsi="Arial" w:cs="Arial"/>
        </w:rPr>
      </w:pPr>
      <w:r w:rsidRPr="00F53520">
        <w:rPr>
          <w:rFonts w:ascii="Arial" w:hAnsi="Arial" w:cs="Arial"/>
        </w:rPr>
        <w:t>Director:</w:t>
      </w:r>
      <w:r w:rsidRPr="00F53520">
        <w:rPr>
          <w:rFonts w:ascii="Arial" w:hAnsi="Arial" w:cs="Arial"/>
        </w:rPr>
        <w:tab/>
      </w:r>
      <w:r w:rsidR="00432E36" w:rsidRPr="00F53520">
        <w:rPr>
          <w:rFonts w:ascii="Arial" w:hAnsi="Arial" w:cs="Arial"/>
        </w:rPr>
        <w:t xml:space="preserve">Peter F. Flynn </w:t>
      </w:r>
      <w:r w:rsidR="00035582" w:rsidRPr="00F53520">
        <w:rPr>
          <w:rFonts w:ascii="Arial" w:hAnsi="Arial" w:cs="Arial"/>
        </w:rPr>
        <w:tab/>
      </w:r>
    </w:p>
    <w:p w:rsidR="00035582" w:rsidRPr="00F53520" w:rsidRDefault="00622646" w:rsidP="001844B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peter.flynn@utah.edu</w:t>
      </w:r>
    </w:p>
    <w:p w:rsidR="00035582" w:rsidRPr="00F53520" w:rsidRDefault="00035582" w:rsidP="001844BE">
      <w:pPr>
        <w:pStyle w:val="NoSpacing"/>
        <w:ind w:left="720" w:firstLine="720"/>
        <w:rPr>
          <w:rFonts w:ascii="Arial" w:hAnsi="Arial" w:cs="Arial"/>
        </w:rPr>
      </w:pPr>
      <w:r w:rsidRPr="00F53520">
        <w:rPr>
          <w:rFonts w:ascii="Arial" w:hAnsi="Arial" w:cs="Arial"/>
        </w:rPr>
        <w:t>801-581-</w:t>
      </w:r>
      <w:r w:rsidR="00432E36" w:rsidRPr="00F53520">
        <w:rPr>
          <w:rFonts w:ascii="Arial" w:hAnsi="Arial" w:cs="Arial"/>
        </w:rPr>
        <w:t>3828</w:t>
      </w:r>
    </w:p>
    <w:p w:rsidR="007425FD" w:rsidRPr="00F53520" w:rsidRDefault="008C6608" w:rsidP="001844BE">
      <w:pPr>
        <w:pStyle w:val="NoSpacing"/>
        <w:ind w:left="720" w:firstLine="720"/>
        <w:rPr>
          <w:rFonts w:ascii="Arial" w:hAnsi="Arial" w:cs="Arial"/>
        </w:rPr>
      </w:pPr>
      <w:r w:rsidRPr="008C6608">
        <w:rPr>
          <w:rFonts w:ascii="Arial" w:hAnsi="Arial" w:cs="Arial"/>
        </w:rPr>
        <w:t>http://chem.utah.edu/facilities/nmr/index.php</w:t>
      </w:r>
    </w:p>
    <w:p w:rsidR="007425FD" w:rsidRPr="00F53520" w:rsidRDefault="007425FD" w:rsidP="007425FD">
      <w:pPr>
        <w:pStyle w:val="NoSpacing"/>
        <w:rPr>
          <w:rFonts w:ascii="Arial" w:hAnsi="Arial" w:cs="Arial"/>
        </w:rPr>
      </w:pPr>
      <w:r w:rsidRPr="00F53520">
        <w:rPr>
          <w:rFonts w:ascii="Arial" w:hAnsi="Arial" w:cs="Arial"/>
        </w:rPr>
        <w:t>Location:</w:t>
      </w:r>
      <w:r w:rsidR="00432E36" w:rsidRPr="00F53520">
        <w:rPr>
          <w:rFonts w:ascii="Arial" w:hAnsi="Arial" w:cs="Arial"/>
        </w:rPr>
        <w:t xml:space="preserve"> </w:t>
      </w:r>
      <w:r w:rsidR="001844BE" w:rsidRPr="00F53520">
        <w:rPr>
          <w:rFonts w:ascii="Arial" w:hAnsi="Arial" w:cs="Arial"/>
        </w:rPr>
        <w:tab/>
      </w:r>
      <w:r w:rsidR="00CF5396">
        <w:rPr>
          <w:rFonts w:ascii="Arial" w:hAnsi="Arial" w:cs="Arial"/>
        </w:rPr>
        <w:t>HEB 1017, B100</w:t>
      </w:r>
    </w:p>
    <w:p w:rsidR="00EB363B" w:rsidRPr="00F53520" w:rsidRDefault="00EB363B" w:rsidP="007425FD">
      <w:pPr>
        <w:pStyle w:val="NoSpacing"/>
        <w:rPr>
          <w:rFonts w:ascii="Arial" w:hAnsi="Arial" w:cs="Arial"/>
        </w:rPr>
      </w:pPr>
    </w:p>
    <w:p w:rsidR="006704BD" w:rsidRDefault="006704BD" w:rsidP="0066044E">
      <w:pPr>
        <w:pStyle w:val="NoSpacing"/>
        <w:spacing w:after="120"/>
        <w:outlineLvl w:val="0"/>
        <w:rPr>
          <w:rFonts w:ascii="Arial" w:hAnsi="Arial" w:cs="Arial"/>
          <w:b/>
          <w:u w:val="single"/>
        </w:rPr>
      </w:pPr>
    </w:p>
    <w:p w:rsidR="007425FD" w:rsidRPr="00F53520" w:rsidRDefault="007425FD" w:rsidP="0066044E">
      <w:pPr>
        <w:pStyle w:val="NoSpacing"/>
        <w:spacing w:after="120"/>
        <w:outlineLvl w:val="0"/>
        <w:rPr>
          <w:rFonts w:ascii="Arial" w:hAnsi="Arial" w:cs="Arial"/>
          <w:b/>
          <w:u w:val="single"/>
        </w:rPr>
      </w:pPr>
      <w:r w:rsidRPr="00F53520">
        <w:rPr>
          <w:rFonts w:ascii="Arial" w:hAnsi="Arial" w:cs="Arial"/>
          <w:b/>
          <w:u w:val="single"/>
        </w:rPr>
        <w:t>Services, Equipment and Users</w:t>
      </w:r>
    </w:p>
    <w:p w:rsidR="00201B0E" w:rsidRPr="00F53520" w:rsidRDefault="00201B0E" w:rsidP="00F53520">
      <w:pPr>
        <w:pStyle w:val="NoSpacing"/>
        <w:spacing w:after="120"/>
        <w:jc w:val="both"/>
        <w:rPr>
          <w:rFonts w:ascii="Arial" w:hAnsi="Arial" w:cs="Arial"/>
          <w:b/>
          <w:i/>
          <w:u w:val="single"/>
        </w:rPr>
      </w:pPr>
      <w:r w:rsidRPr="00F53520">
        <w:rPr>
          <w:rFonts w:ascii="Arial" w:hAnsi="Arial" w:cs="Arial"/>
          <w:b/>
          <w:i/>
          <w:u w:val="single"/>
        </w:rPr>
        <w:t>Main Services</w:t>
      </w:r>
    </w:p>
    <w:p w:rsidR="00CF5396" w:rsidRPr="00CF5396" w:rsidRDefault="00CF5396" w:rsidP="00CF5396">
      <w:pPr>
        <w:widowControl w:val="0"/>
        <w:tabs>
          <w:tab w:val="left" w:pos="25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CF5396">
        <w:rPr>
          <w:rFonts w:ascii="Arial" w:hAnsi="Arial" w:cs="Arial"/>
          <w:color w:val="000000"/>
        </w:rPr>
        <w:t>The Department of Chemistry NMR</w:t>
      </w:r>
      <w:r>
        <w:rPr>
          <w:rFonts w:ascii="Arial" w:hAnsi="Arial" w:cs="Arial"/>
          <w:color w:val="000000"/>
        </w:rPr>
        <w:t xml:space="preserve"> Facility</w:t>
      </w:r>
      <w:r w:rsidRPr="00CF5396">
        <w:rPr>
          <w:rFonts w:ascii="Arial" w:hAnsi="Arial" w:cs="Arial"/>
          <w:color w:val="000000"/>
        </w:rPr>
        <w:t xml:space="preserve"> provides essential access to walkup mode NMR instrumentation.  The NMR instruments primarily support research within the Department of Chemistry, with additional users fro</w:t>
      </w:r>
      <w:r>
        <w:rPr>
          <w:rFonts w:ascii="Arial" w:hAnsi="Arial" w:cs="Arial"/>
          <w:color w:val="000000"/>
        </w:rPr>
        <w:t>m the commercial sector</w:t>
      </w:r>
      <w:r w:rsidRPr="00CF5396">
        <w:rPr>
          <w:rFonts w:ascii="Arial" w:hAnsi="Arial" w:cs="Arial"/>
          <w:color w:val="000000"/>
        </w:rPr>
        <w:t>.  The focus of the use of NMR Center instruments is toward short</w:t>
      </w:r>
      <w:r>
        <w:rPr>
          <w:rFonts w:ascii="Arial" w:hAnsi="Arial" w:cs="Arial"/>
          <w:color w:val="000000"/>
        </w:rPr>
        <w:t xml:space="preserve"> recording</w:t>
      </w:r>
      <w:r w:rsidRPr="00CF5396">
        <w:rPr>
          <w:rFonts w:ascii="Arial" w:hAnsi="Arial" w:cs="Arial"/>
          <w:color w:val="000000"/>
        </w:rPr>
        <w:t xml:space="preserve"> intervals, e.g., to monitor results of chemical reactions, that are vital to the successful of the synthetic organic chemistry research programs.</w:t>
      </w:r>
    </w:p>
    <w:p w:rsidR="00201B0E" w:rsidRPr="00F53520" w:rsidRDefault="00201B0E" w:rsidP="00201B0E">
      <w:pPr>
        <w:widowControl w:val="0"/>
        <w:tabs>
          <w:tab w:val="left" w:pos="2520"/>
        </w:tabs>
        <w:autoSpaceDE w:val="0"/>
        <w:autoSpaceDN w:val="0"/>
        <w:adjustRightInd w:val="0"/>
        <w:spacing w:after="120" w:line="240" w:lineRule="auto"/>
        <w:rPr>
          <w:rFonts w:ascii="Arial" w:eastAsia="Cambria" w:hAnsi="Arial" w:cs="Arial"/>
          <w:b/>
          <w:i/>
          <w:color w:val="000000"/>
          <w:u w:val="single"/>
        </w:rPr>
      </w:pPr>
      <w:r w:rsidRPr="00F53520">
        <w:rPr>
          <w:rFonts w:ascii="Arial" w:eastAsia="Cambria" w:hAnsi="Arial" w:cs="Arial"/>
          <w:b/>
          <w:i/>
          <w:color w:val="000000"/>
          <w:u w:val="single"/>
        </w:rPr>
        <w:t>Major Equipment</w:t>
      </w:r>
      <w:r w:rsidR="00796934">
        <w:rPr>
          <w:rFonts w:ascii="Arial" w:eastAsia="Cambria" w:hAnsi="Arial" w:cs="Arial"/>
          <w:b/>
          <w:i/>
          <w:color w:val="000000"/>
          <w:u w:val="single"/>
        </w:rPr>
        <w:t>: Liquids NMR</w:t>
      </w:r>
    </w:p>
    <w:p w:rsidR="000C74FF" w:rsidRPr="00DE7935" w:rsidRDefault="00CF5396" w:rsidP="00DE7935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17"/>
          <w:szCs w:val="17"/>
        </w:rPr>
      </w:pPr>
      <w:r>
        <w:rPr>
          <w:rFonts w:ascii="Arial" w:hAnsi="Arial" w:cs="Arial"/>
        </w:rPr>
        <w:t xml:space="preserve">Chemistry </w:t>
      </w:r>
      <w:r w:rsidR="00BD43CE">
        <w:rPr>
          <w:rFonts w:ascii="Arial" w:hAnsi="Arial" w:cs="Arial"/>
        </w:rPr>
        <w:t xml:space="preserve">NMR </w:t>
      </w:r>
      <w:r>
        <w:rPr>
          <w:rFonts w:ascii="Arial" w:hAnsi="Arial" w:cs="Arial"/>
        </w:rPr>
        <w:t>Facility</w:t>
      </w:r>
      <w:r w:rsidR="00F53520" w:rsidRPr="00F53520">
        <w:rPr>
          <w:rFonts w:ascii="Arial" w:hAnsi="Arial" w:cs="Arial"/>
        </w:rPr>
        <w:t xml:space="preserve"> instruments </w:t>
      </w:r>
      <w:r w:rsidR="00225C14">
        <w:rPr>
          <w:rFonts w:ascii="Arial" w:hAnsi="Arial" w:cs="Arial"/>
        </w:rPr>
        <w:t xml:space="preserve">were all manufactured by Varian and </w:t>
      </w:r>
      <w:r w:rsidR="00F53520" w:rsidRPr="00F53520">
        <w:rPr>
          <w:rFonts w:ascii="Arial" w:hAnsi="Arial" w:cs="Arial"/>
        </w:rPr>
        <w:t xml:space="preserve">include </w:t>
      </w:r>
      <w:r w:rsidR="008E0D01" w:rsidRPr="00F53520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>Unity-class 3</w:t>
      </w:r>
      <w:r w:rsidR="008E0D01" w:rsidRPr="00F53520">
        <w:rPr>
          <w:rFonts w:ascii="Arial" w:hAnsi="Arial" w:cs="Arial"/>
        </w:rPr>
        <w:t xml:space="preserve">00 MHz </w:t>
      </w:r>
      <w:r w:rsidR="00C87B04">
        <w:rPr>
          <w:rFonts w:ascii="Arial" w:hAnsi="Arial" w:cs="Arial"/>
        </w:rPr>
        <w:t>(</w:t>
      </w:r>
      <w:r w:rsidR="00C87B04" w:rsidRPr="00C87B04">
        <w:rPr>
          <w:rFonts w:ascii="Arial" w:hAnsi="Arial" w:cs="Arial"/>
          <w:vertAlign w:val="superscript"/>
        </w:rPr>
        <w:t>1</w:t>
      </w:r>
      <w:r w:rsidR="00C87B04">
        <w:rPr>
          <w:rFonts w:ascii="Arial" w:hAnsi="Arial" w:cs="Arial"/>
        </w:rPr>
        <w:t xml:space="preserve">H) </w:t>
      </w:r>
      <w:r w:rsidR="008E0D01">
        <w:rPr>
          <w:rFonts w:ascii="Arial" w:hAnsi="Arial" w:cs="Arial"/>
        </w:rPr>
        <w:t>four</w:t>
      </w:r>
      <w:r w:rsidR="008E0D01" w:rsidRPr="00F53520">
        <w:rPr>
          <w:rFonts w:ascii="Arial" w:hAnsi="Arial" w:cs="Arial"/>
        </w:rPr>
        <w:t>-channel (</w:t>
      </w:r>
      <w:r w:rsidR="008E0D01" w:rsidRPr="00C32550">
        <w:rPr>
          <w:rFonts w:ascii="Arial" w:hAnsi="Arial" w:cs="Arial"/>
          <w:vertAlign w:val="superscript"/>
        </w:rPr>
        <w:t>1</w:t>
      </w:r>
      <w:r w:rsidR="008E0D01" w:rsidRPr="00F53520">
        <w:rPr>
          <w:rFonts w:ascii="Arial" w:hAnsi="Arial" w:cs="Arial"/>
        </w:rPr>
        <w:t xml:space="preserve">H, </w:t>
      </w:r>
      <w:r>
        <w:rPr>
          <w:rFonts w:ascii="Arial" w:hAnsi="Arial" w:cs="Arial"/>
          <w:vertAlign w:val="superscript"/>
        </w:rPr>
        <w:t>19</w:t>
      </w:r>
      <w:r>
        <w:rPr>
          <w:rFonts w:ascii="Arial" w:hAnsi="Arial" w:cs="Arial"/>
        </w:rPr>
        <w:t>F</w:t>
      </w:r>
      <w:r w:rsidR="008E0D01">
        <w:rPr>
          <w:rFonts w:ascii="Arial" w:hAnsi="Arial" w:cs="Arial"/>
        </w:rPr>
        <w:t xml:space="preserve">, </w:t>
      </w:r>
      <w:r w:rsidR="008E0D01" w:rsidRPr="008E0D01">
        <w:rPr>
          <w:rFonts w:ascii="Arial" w:hAnsi="Arial" w:cs="Arial"/>
          <w:vertAlign w:val="superscript"/>
        </w:rPr>
        <w:t>13</w:t>
      </w:r>
      <w:r w:rsidR="008E0D01">
        <w:rPr>
          <w:rFonts w:ascii="Arial" w:hAnsi="Arial" w:cs="Arial"/>
        </w:rPr>
        <w:t xml:space="preserve">C, </w:t>
      </w:r>
      <w:r>
        <w:rPr>
          <w:rFonts w:ascii="Arial" w:hAnsi="Arial" w:cs="Arial"/>
          <w:vertAlign w:val="superscript"/>
        </w:rPr>
        <w:t>31</w:t>
      </w:r>
      <w:r>
        <w:rPr>
          <w:rFonts w:ascii="Arial" w:hAnsi="Arial" w:cs="Arial"/>
        </w:rPr>
        <w:t>P)</w:t>
      </w:r>
      <w:r w:rsidR="008E0D01" w:rsidRPr="00F53520">
        <w:rPr>
          <w:rFonts w:ascii="Arial" w:hAnsi="Arial" w:cs="Arial"/>
        </w:rPr>
        <w:t xml:space="preserve"> spectrometer</w:t>
      </w:r>
      <w:r w:rsidR="008E0D01">
        <w:rPr>
          <w:rFonts w:ascii="Arial" w:hAnsi="Arial" w:cs="Arial"/>
        </w:rPr>
        <w:t xml:space="preserve"> named </w:t>
      </w:r>
      <w:r>
        <w:rPr>
          <w:rFonts w:ascii="Arial" w:hAnsi="Arial" w:cs="Arial"/>
        </w:rPr>
        <w:t>Unity300</w:t>
      </w:r>
      <w:r w:rsidR="008E0D01">
        <w:rPr>
          <w:rFonts w:ascii="Arial" w:hAnsi="Arial" w:cs="Arial"/>
        </w:rPr>
        <w:t xml:space="preserve">, </w:t>
      </w:r>
      <w:r w:rsidR="00F53520" w:rsidRPr="00F53520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>4</w:t>
      </w:r>
      <w:r w:rsidR="00F53520" w:rsidRPr="00F53520">
        <w:rPr>
          <w:rFonts w:ascii="Arial" w:hAnsi="Arial" w:cs="Arial"/>
        </w:rPr>
        <w:t xml:space="preserve">00 MHz </w:t>
      </w:r>
      <w:r w:rsidR="00C87B04">
        <w:rPr>
          <w:rFonts w:ascii="Arial" w:hAnsi="Arial" w:cs="Arial"/>
        </w:rPr>
        <w:t>(</w:t>
      </w:r>
      <w:r w:rsidR="00C87B04" w:rsidRPr="00C87B04">
        <w:rPr>
          <w:rFonts w:ascii="Arial" w:hAnsi="Arial" w:cs="Arial"/>
          <w:vertAlign w:val="superscript"/>
        </w:rPr>
        <w:t>1</w:t>
      </w:r>
      <w:r w:rsidR="00C87B04">
        <w:rPr>
          <w:rFonts w:ascii="Arial" w:hAnsi="Arial" w:cs="Arial"/>
        </w:rPr>
        <w:t xml:space="preserve">H) </w:t>
      </w:r>
      <w:r>
        <w:rPr>
          <w:rFonts w:ascii="Arial" w:hAnsi="Arial" w:cs="Arial"/>
        </w:rPr>
        <w:t>two</w:t>
      </w:r>
      <w:r w:rsidR="00F53520" w:rsidRPr="00F53520">
        <w:rPr>
          <w:rFonts w:ascii="Arial" w:hAnsi="Arial" w:cs="Arial"/>
        </w:rPr>
        <w:t>-channel (</w:t>
      </w:r>
      <w:r w:rsidR="00F53520" w:rsidRPr="00C32550">
        <w:rPr>
          <w:rFonts w:ascii="Arial" w:hAnsi="Arial" w:cs="Arial"/>
          <w:vertAlign w:val="superscript"/>
        </w:rPr>
        <w:t>1</w:t>
      </w:r>
      <w:r w:rsidR="00F53520" w:rsidRPr="00F53520">
        <w:rPr>
          <w:rFonts w:ascii="Arial" w:hAnsi="Arial" w:cs="Arial"/>
        </w:rPr>
        <w:t xml:space="preserve">H, </w:t>
      </w:r>
      <w:r w:rsidR="008E0D01">
        <w:rPr>
          <w:rFonts w:ascii="Arial" w:hAnsi="Arial" w:cs="Arial"/>
        </w:rPr>
        <w:t>X-low</w:t>
      </w:r>
      <w:r w:rsidR="00BD43CE">
        <w:rPr>
          <w:rFonts w:ascii="Arial" w:hAnsi="Arial" w:cs="Arial"/>
        </w:rPr>
        <w:t>-</w:t>
      </w:r>
      <w:r w:rsidR="00F53520" w:rsidRPr="00F53520">
        <w:rPr>
          <w:rFonts w:ascii="Arial" w:hAnsi="Arial" w:cs="Arial"/>
        </w:rPr>
        <w:t>band</w:t>
      </w:r>
      <w:r w:rsidR="008E0D01">
        <w:rPr>
          <w:rFonts w:ascii="Arial" w:hAnsi="Arial" w:cs="Arial"/>
        </w:rPr>
        <w:t xml:space="preserve">, wherein </w:t>
      </w:r>
      <w:r w:rsidR="00BD43CE">
        <w:rPr>
          <w:rFonts w:ascii="Arial" w:hAnsi="Arial" w:cs="Arial"/>
        </w:rPr>
        <w:t>X-</w:t>
      </w:r>
      <w:r w:rsidR="008E0D01">
        <w:rPr>
          <w:rFonts w:ascii="Arial" w:hAnsi="Arial" w:cs="Arial"/>
        </w:rPr>
        <w:t>low</w:t>
      </w:r>
      <w:r w:rsidR="00BD43CE">
        <w:rPr>
          <w:rFonts w:ascii="Arial" w:hAnsi="Arial" w:cs="Arial"/>
        </w:rPr>
        <w:t>-</w:t>
      </w:r>
      <w:r w:rsidR="008E0D01">
        <w:rPr>
          <w:rFonts w:ascii="Arial" w:hAnsi="Arial" w:cs="Arial"/>
        </w:rPr>
        <w:t>band refers to all nu</w:t>
      </w:r>
      <w:r w:rsidR="00BD43CE">
        <w:rPr>
          <w:rFonts w:ascii="Arial" w:hAnsi="Arial" w:cs="Arial"/>
        </w:rPr>
        <w:t xml:space="preserve">clei up to a resonance </w:t>
      </w:r>
      <w:r w:rsidR="008C6608">
        <w:rPr>
          <w:rFonts w:ascii="Arial" w:hAnsi="Arial" w:cs="Arial"/>
        </w:rPr>
        <w:t>frequency of</w:t>
      </w:r>
      <w:r>
        <w:rPr>
          <w:rFonts w:ascii="Arial" w:hAnsi="Arial" w:cs="Arial"/>
        </w:rPr>
        <w:t xml:space="preserve"> </w:t>
      </w:r>
      <w:r w:rsidR="008E0D01" w:rsidRPr="00BD43CE">
        <w:rPr>
          <w:rFonts w:ascii="Arial" w:hAnsi="Arial" w:cs="Arial"/>
          <w:vertAlign w:val="superscript"/>
        </w:rPr>
        <w:t>31</w:t>
      </w:r>
      <w:r w:rsidR="008E0D01">
        <w:rPr>
          <w:rFonts w:ascii="Arial" w:hAnsi="Arial" w:cs="Arial"/>
        </w:rPr>
        <w:t>P</w:t>
      </w:r>
      <w:r w:rsidR="00F53520" w:rsidRPr="00F53520">
        <w:rPr>
          <w:rFonts w:ascii="Arial" w:hAnsi="Arial" w:cs="Arial"/>
        </w:rPr>
        <w:t xml:space="preserve">) </w:t>
      </w:r>
      <w:proofErr w:type="spellStart"/>
      <w:r w:rsidR="008C6608">
        <w:rPr>
          <w:rFonts w:ascii="Arial" w:hAnsi="Arial" w:cs="Arial"/>
        </w:rPr>
        <w:t>Inova</w:t>
      </w:r>
      <w:proofErr w:type="spellEnd"/>
      <w:r w:rsidR="008C6608">
        <w:rPr>
          <w:rFonts w:ascii="Arial" w:hAnsi="Arial" w:cs="Arial"/>
        </w:rPr>
        <w:t xml:space="preserve">-class </w:t>
      </w:r>
      <w:r w:rsidR="00F53520" w:rsidRPr="00F53520">
        <w:rPr>
          <w:rFonts w:ascii="Arial" w:hAnsi="Arial" w:cs="Arial"/>
        </w:rPr>
        <w:t>spectrometer named</w:t>
      </w:r>
      <w:r w:rsidR="008E0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Inova400</w:t>
      </w:r>
      <w:r w:rsidR="00F53520" w:rsidRPr="00F53520">
        <w:rPr>
          <w:rFonts w:ascii="Arial" w:hAnsi="Arial" w:cs="Arial"/>
        </w:rPr>
        <w:t xml:space="preserve">, and </w:t>
      </w:r>
      <w:r w:rsidR="00225C14">
        <w:rPr>
          <w:rFonts w:ascii="Arial" w:hAnsi="Arial" w:cs="Arial"/>
        </w:rPr>
        <w:t>a</w:t>
      </w:r>
      <w:r w:rsidR="00F53520" w:rsidRPr="00F535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F53520" w:rsidRPr="00F53520">
        <w:rPr>
          <w:rFonts w:ascii="Arial" w:hAnsi="Arial" w:cs="Arial"/>
        </w:rPr>
        <w:t xml:space="preserve">00 MHz </w:t>
      </w:r>
      <w:r w:rsidR="00C87B04">
        <w:rPr>
          <w:rFonts w:ascii="Arial" w:hAnsi="Arial" w:cs="Arial"/>
        </w:rPr>
        <w:t>(</w:t>
      </w:r>
      <w:r w:rsidR="00C87B04" w:rsidRPr="00C87B04">
        <w:rPr>
          <w:rFonts w:ascii="Arial" w:hAnsi="Arial" w:cs="Arial"/>
          <w:vertAlign w:val="superscript"/>
        </w:rPr>
        <w:t>1</w:t>
      </w:r>
      <w:r w:rsidR="00C87B04">
        <w:rPr>
          <w:rFonts w:ascii="Arial" w:hAnsi="Arial" w:cs="Arial"/>
        </w:rPr>
        <w:t xml:space="preserve">H) </w:t>
      </w:r>
      <w:r>
        <w:rPr>
          <w:rFonts w:ascii="Arial" w:hAnsi="Arial" w:cs="Arial"/>
        </w:rPr>
        <w:t>two</w:t>
      </w:r>
      <w:r w:rsidR="00F53520" w:rsidRPr="00F53520">
        <w:rPr>
          <w:rFonts w:ascii="Arial" w:hAnsi="Arial" w:cs="Arial"/>
        </w:rPr>
        <w:t xml:space="preserve">-channel </w:t>
      </w:r>
      <w:r w:rsidR="008C6608">
        <w:rPr>
          <w:rFonts w:ascii="Arial" w:hAnsi="Arial" w:cs="Arial"/>
        </w:rPr>
        <w:t xml:space="preserve">VXR-class </w:t>
      </w:r>
      <w:r w:rsidR="00F53520" w:rsidRPr="00F53520">
        <w:rPr>
          <w:rFonts w:ascii="Arial" w:hAnsi="Arial" w:cs="Arial"/>
        </w:rPr>
        <w:t xml:space="preserve">spectrometer </w:t>
      </w:r>
      <w:r w:rsidRPr="00F53520">
        <w:rPr>
          <w:rFonts w:ascii="Arial" w:hAnsi="Arial" w:cs="Arial"/>
        </w:rPr>
        <w:t>(</w:t>
      </w:r>
      <w:r w:rsidRPr="00C32550">
        <w:rPr>
          <w:rFonts w:ascii="Arial" w:hAnsi="Arial" w:cs="Arial"/>
          <w:vertAlign w:val="superscript"/>
        </w:rPr>
        <w:t>1</w:t>
      </w:r>
      <w:r w:rsidRPr="00F53520">
        <w:rPr>
          <w:rFonts w:ascii="Arial" w:hAnsi="Arial" w:cs="Arial"/>
        </w:rPr>
        <w:t xml:space="preserve">H, </w:t>
      </w:r>
      <w:r>
        <w:rPr>
          <w:rFonts w:ascii="Arial" w:hAnsi="Arial" w:cs="Arial"/>
        </w:rPr>
        <w:t>X-low-</w:t>
      </w:r>
      <w:r w:rsidRPr="00F53520">
        <w:rPr>
          <w:rFonts w:ascii="Arial" w:hAnsi="Arial" w:cs="Arial"/>
        </w:rPr>
        <w:t>band</w:t>
      </w:r>
      <w:r>
        <w:rPr>
          <w:rFonts w:ascii="Arial" w:hAnsi="Arial" w:cs="Arial"/>
        </w:rPr>
        <w:t>)</w:t>
      </w:r>
      <w:r w:rsidRPr="00F53520">
        <w:rPr>
          <w:rFonts w:ascii="Arial" w:hAnsi="Arial" w:cs="Arial"/>
        </w:rPr>
        <w:t xml:space="preserve"> </w:t>
      </w:r>
      <w:r w:rsidR="00F53520" w:rsidRPr="00F53520">
        <w:rPr>
          <w:rFonts w:ascii="Arial" w:hAnsi="Arial" w:cs="Arial"/>
        </w:rPr>
        <w:t xml:space="preserve">named </w:t>
      </w:r>
      <w:r>
        <w:rPr>
          <w:rFonts w:ascii="Arial" w:hAnsi="Arial" w:cs="Arial"/>
        </w:rPr>
        <w:t>VXR500</w:t>
      </w:r>
      <w:r w:rsidR="008E0D01">
        <w:rPr>
          <w:rFonts w:ascii="Arial" w:hAnsi="Arial" w:cs="Arial"/>
        </w:rPr>
        <w:t xml:space="preserve">.  The </w:t>
      </w:r>
      <w:r w:rsidR="008C6608">
        <w:rPr>
          <w:rFonts w:ascii="Arial" w:hAnsi="Arial" w:cs="Arial"/>
        </w:rPr>
        <w:t>Unity300</w:t>
      </w:r>
      <w:r w:rsidR="008E0D01">
        <w:rPr>
          <w:rFonts w:ascii="Arial" w:hAnsi="Arial" w:cs="Arial"/>
        </w:rPr>
        <w:t xml:space="preserve"> instrument i</w:t>
      </w:r>
      <w:r w:rsidR="00622646">
        <w:rPr>
          <w:rFonts w:ascii="Arial" w:hAnsi="Arial" w:cs="Arial"/>
        </w:rPr>
        <w:t>s</w:t>
      </w:r>
      <w:r w:rsidR="008E0D01">
        <w:rPr>
          <w:rFonts w:ascii="Arial" w:hAnsi="Arial" w:cs="Arial"/>
        </w:rPr>
        <w:t xml:space="preserve"> </w:t>
      </w:r>
      <w:r w:rsidR="00622646">
        <w:rPr>
          <w:rFonts w:ascii="Arial" w:hAnsi="Arial" w:cs="Arial"/>
        </w:rPr>
        <w:t>a 19</w:t>
      </w:r>
      <w:r w:rsidR="008C6608">
        <w:rPr>
          <w:rFonts w:ascii="Arial" w:hAnsi="Arial" w:cs="Arial"/>
        </w:rPr>
        <w:t xml:space="preserve">80’s instrument </w:t>
      </w:r>
      <w:r w:rsidR="00622646">
        <w:rPr>
          <w:rFonts w:ascii="Arial" w:hAnsi="Arial" w:cs="Arial"/>
        </w:rPr>
        <w:t>that</w:t>
      </w:r>
      <w:r w:rsidR="008C6608">
        <w:rPr>
          <w:rFonts w:ascii="Arial" w:hAnsi="Arial" w:cs="Arial"/>
        </w:rPr>
        <w:t xml:space="preserve"> remains quite serviceable and provide facile access not only to </w:t>
      </w:r>
      <w:r w:rsidR="008C6608" w:rsidRPr="008C6608">
        <w:rPr>
          <w:rFonts w:ascii="Arial" w:hAnsi="Arial" w:cs="Arial"/>
          <w:vertAlign w:val="superscript"/>
        </w:rPr>
        <w:t>1</w:t>
      </w:r>
      <w:r w:rsidR="008C6608">
        <w:rPr>
          <w:rFonts w:ascii="Arial" w:hAnsi="Arial" w:cs="Arial"/>
        </w:rPr>
        <w:t xml:space="preserve">H and </w:t>
      </w:r>
      <w:r w:rsidR="008C6608" w:rsidRPr="008C6608">
        <w:rPr>
          <w:rFonts w:ascii="Arial" w:hAnsi="Arial" w:cs="Arial"/>
          <w:vertAlign w:val="superscript"/>
        </w:rPr>
        <w:t>13</w:t>
      </w:r>
      <w:r w:rsidR="008C6608">
        <w:rPr>
          <w:rFonts w:ascii="Arial" w:hAnsi="Arial" w:cs="Arial"/>
        </w:rPr>
        <w:t xml:space="preserve">C detection, but also </w:t>
      </w:r>
      <w:r w:rsidR="008C6608" w:rsidRPr="008C6608">
        <w:rPr>
          <w:rFonts w:ascii="Arial" w:hAnsi="Arial" w:cs="Arial"/>
          <w:vertAlign w:val="superscript"/>
        </w:rPr>
        <w:t>19</w:t>
      </w:r>
      <w:r w:rsidR="008C6608">
        <w:rPr>
          <w:rFonts w:ascii="Arial" w:hAnsi="Arial" w:cs="Arial"/>
        </w:rPr>
        <w:t xml:space="preserve">F and </w:t>
      </w:r>
      <w:r w:rsidR="008C6608" w:rsidRPr="008C6608">
        <w:rPr>
          <w:rFonts w:ascii="Arial" w:hAnsi="Arial" w:cs="Arial"/>
          <w:vertAlign w:val="superscript"/>
        </w:rPr>
        <w:t>31</w:t>
      </w:r>
      <w:r w:rsidR="008C6608">
        <w:rPr>
          <w:rFonts w:ascii="Arial" w:hAnsi="Arial" w:cs="Arial"/>
        </w:rPr>
        <w:t>P detection</w:t>
      </w:r>
      <w:r w:rsidR="008E0D01">
        <w:rPr>
          <w:rFonts w:ascii="Arial" w:hAnsi="Arial" w:cs="Arial"/>
        </w:rPr>
        <w:t xml:space="preserve">. The </w:t>
      </w:r>
      <w:r w:rsidR="008C6608">
        <w:rPr>
          <w:rFonts w:ascii="Arial" w:hAnsi="Arial" w:cs="Arial"/>
        </w:rPr>
        <w:t>Inova400 console was installed in 1990</w:t>
      </w:r>
      <w:r w:rsidR="00622646">
        <w:rPr>
          <w:rFonts w:ascii="Arial" w:hAnsi="Arial" w:cs="Arial"/>
        </w:rPr>
        <w:t>,</w:t>
      </w:r>
      <w:r w:rsidR="008C6608">
        <w:rPr>
          <w:rFonts w:ascii="Arial" w:hAnsi="Arial" w:cs="Arial"/>
        </w:rPr>
        <w:t xml:space="preserve"> and features both wide-range VT capabilities (-100</w:t>
      </w:r>
      <w:r w:rsidR="008C6608">
        <w:rPr>
          <w:rFonts w:ascii="Arial" w:hAnsi="Arial" w:cs="Arial"/>
          <w:sz w:val="26"/>
          <w:szCs w:val="26"/>
        </w:rPr>
        <w:t>°</w:t>
      </w:r>
      <w:r w:rsidR="008C6608">
        <w:rPr>
          <w:rFonts w:ascii="Arial" w:hAnsi="Arial" w:cs="Arial"/>
        </w:rPr>
        <w:t>C to +100</w:t>
      </w:r>
      <w:r w:rsidR="008C6608">
        <w:rPr>
          <w:rFonts w:ascii="Arial" w:hAnsi="Arial" w:cs="Arial"/>
          <w:sz w:val="26"/>
          <w:szCs w:val="26"/>
        </w:rPr>
        <w:t>°</w:t>
      </w:r>
      <w:r w:rsidR="008C6608">
        <w:rPr>
          <w:rFonts w:ascii="Arial" w:hAnsi="Arial" w:cs="Arial"/>
        </w:rPr>
        <w:t>C) and a broadband direct detection probe (</w:t>
      </w:r>
      <w:r w:rsidR="008C6608" w:rsidRPr="008C6608">
        <w:rPr>
          <w:rFonts w:ascii="Arial" w:hAnsi="Arial" w:cs="Arial"/>
          <w:vertAlign w:val="superscript"/>
        </w:rPr>
        <w:t>15</w:t>
      </w:r>
      <w:r w:rsidR="008C6608">
        <w:rPr>
          <w:rFonts w:ascii="Arial" w:hAnsi="Arial" w:cs="Arial"/>
        </w:rPr>
        <w:t xml:space="preserve">N to </w:t>
      </w:r>
      <w:r w:rsidR="008C6608" w:rsidRPr="008C6608">
        <w:rPr>
          <w:rFonts w:ascii="Arial" w:hAnsi="Arial" w:cs="Arial"/>
          <w:vertAlign w:val="superscript"/>
        </w:rPr>
        <w:t>31</w:t>
      </w:r>
      <w:r w:rsidR="008C6608">
        <w:rPr>
          <w:rFonts w:ascii="Arial" w:hAnsi="Arial" w:cs="Arial"/>
        </w:rPr>
        <w:t xml:space="preserve">P).  The VXR500 instrument is a 1980’s vintage NMR instrument that provides relatively high-sensitivity </w:t>
      </w:r>
      <w:r w:rsidR="00622646" w:rsidRPr="00622646">
        <w:rPr>
          <w:rFonts w:ascii="Arial" w:hAnsi="Arial" w:cs="Arial"/>
          <w:vertAlign w:val="superscript"/>
        </w:rPr>
        <w:t>1</w:t>
      </w:r>
      <w:r w:rsidR="00622646">
        <w:rPr>
          <w:rFonts w:ascii="Arial" w:hAnsi="Arial" w:cs="Arial"/>
        </w:rPr>
        <w:t xml:space="preserve">H </w:t>
      </w:r>
      <w:r w:rsidR="008C6608">
        <w:rPr>
          <w:rFonts w:ascii="Arial" w:hAnsi="Arial" w:cs="Arial"/>
        </w:rPr>
        <w:t xml:space="preserve">walkup NMR access </w:t>
      </w:r>
      <w:r w:rsidR="00622646">
        <w:rPr>
          <w:rFonts w:ascii="Arial" w:hAnsi="Arial" w:cs="Arial"/>
        </w:rPr>
        <w:t xml:space="preserve">with workable direct detection of </w:t>
      </w:r>
      <w:r w:rsidR="00622646" w:rsidRPr="00622646">
        <w:rPr>
          <w:rFonts w:ascii="Arial" w:hAnsi="Arial" w:cs="Arial"/>
          <w:vertAlign w:val="superscript"/>
        </w:rPr>
        <w:t>13</w:t>
      </w:r>
      <w:r w:rsidR="00622646">
        <w:rPr>
          <w:rFonts w:ascii="Arial" w:hAnsi="Arial" w:cs="Arial"/>
        </w:rPr>
        <w:t>C.</w:t>
      </w:r>
      <w:r w:rsidR="008C6608">
        <w:rPr>
          <w:rFonts w:ascii="Arial" w:hAnsi="Arial" w:cs="Arial"/>
        </w:rPr>
        <w:t xml:space="preserve"> </w:t>
      </w:r>
      <w:bookmarkStart w:id="0" w:name="_GoBack"/>
      <w:bookmarkEnd w:id="0"/>
    </w:p>
    <w:sectPr w:rsidR="000C74FF" w:rsidRPr="00DE7935" w:rsidSect="007425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C9" w:rsidRDefault="00E62FC9" w:rsidP="00E81B56">
      <w:pPr>
        <w:spacing w:after="0" w:line="240" w:lineRule="auto"/>
      </w:pPr>
      <w:r>
        <w:separator/>
      </w:r>
    </w:p>
  </w:endnote>
  <w:endnote w:type="continuationSeparator" w:id="0">
    <w:p w:rsidR="00E62FC9" w:rsidRDefault="00E62FC9" w:rsidP="00E8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56" w:rsidRPr="00E81B56" w:rsidRDefault="00E81B56">
    <w:pPr>
      <w:pStyle w:val="Footer"/>
      <w:jc w:val="center"/>
      <w:rPr>
        <w:rFonts w:ascii="Arial" w:hAnsi="Arial" w:cs="Arial"/>
      </w:rPr>
    </w:pPr>
    <w:r w:rsidRPr="00E81B56">
      <w:rPr>
        <w:rFonts w:ascii="Arial" w:hAnsi="Arial" w:cs="Arial"/>
      </w:rPr>
      <w:fldChar w:fldCharType="begin"/>
    </w:r>
    <w:r w:rsidRPr="00E81B56">
      <w:rPr>
        <w:rFonts w:ascii="Arial" w:hAnsi="Arial" w:cs="Arial"/>
      </w:rPr>
      <w:instrText xml:space="preserve"> PAGE   \* MERGEFORMAT </w:instrText>
    </w:r>
    <w:r w:rsidRPr="00E81B56">
      <w:rPr>
        <w:rFonts w:ascii="Arial" w:hAnsi="Arial" w:cs="Arial"/>
      </w:rPr>
      <w:fldChar w:fldCharType="separate"/>
    </w:r>
    <w:r w:rsidR="00DE7935">
      <w:rPr>
        <w:rFonts w:ascii="Arial" w:hAnsi="Arial" w:cs="Arial"/>
        <w:noProof/>
      </w:rPr>
      <w:t>1</w:t>
    </w:r>
    <w:r w:rsidRPr="00E81B56">
      <w:rPr>
        <w:rFonts w:ascii="Arial" w:hAnsi="Arial" w:cs="Arial"/>
      </w:rPr>
      <w:fldChar w:fldCharType="end"/>
    </w:r>
  </w:p>
  <w:p w:rsidR="00E81B56" w:rsidRDefault="00E81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C9" w:rsidRDefault="00E62FC9" w:rsidP="00E81B56">
      <w:pPr>
        <w:spacing w:after="0" w:line="240" w:lineRule="auto"/>
      </w:pPr>
      <w:r>
        <w:separator/>
      </w:r>
    </w:p>
  </w:footnote>
  <w:footnote w:type="continuationSeparator" w:id="0">
    <w:p w:rsidR="00E62FC9" w:rsidRDefault="00E62FC9" w:rsidP="00E8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A56"/>
    <w:multiLevelType w:val="multilevel"/>
    <w:tmpl w:val="2E0A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16291"/>
    <w:multiLevelType w:val="hybridMultilevel"/>
    <w:tmpl w:val="54665C00"/>
    <w:lvl w:ilvl="0" w:tplc="50145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D35FE"/>
    <w:multiLevelType w:val="hybridMultilevel"/>
    <w:tmpl w:val="936E818C"/>
    <w:lvl w:ilvl="0" w:tplc="D4F20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B717B"/>
    <w:multiLevelType w:val="hybridMultilevel"/>
    <w:tmpl w:val="93F81FBE"/>
    <w:lvl w:ilvl="0" w:tplc="42DEBA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25E7A"/>
    <w:multiLevelType w:val="multilevel"/>
    <w:tmpl w:val="208C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9A5671"/>
    <w:multiLevelType w:val="hybridMultilevel"/>
    <w:tmpl w:val="FB6AC938"/>
    <w:lvl w:ilvl="0" w:tplc="306CE6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F6"/>
    <w:rsid w:val="00035582"/>
    <w:rsid w:val="00042076"/>
    <w:rsid w:val="000723A3"/>
    <w:rsid w:val="00084242"/>
    <w:rsid w:val="00086914"/>
    <w:rsid w:val="000C35AB"/>
    <w:rsid w:val="000C74FF"/>
    <w:rsid w:val="00156CDD"/>
    <w:rsid w:val="0016173E"/>
    <w:rsid w:val="001844BE"/>
    <w:rsid w:val="001C4E5F"/>
    <w:rsid w:val="00201B0E"/>
    <w:rsid w:val="00215550"/>
    <w:rsid w:val="002206EF"/>
    <w:rsid w:val="00225C14"/>
    <w:rsid w:val="00276C33"/>
    <w:rsid w:val="002B24E5"/>
    <w:rsid w:val="002C0992"/>
    <w:rsid w:val="00365F2B"/>
    <w:rsid w:val="003E2297"/>
    <w:rsid w:val="00432E36"/>
    <w:rsid w:val="00473996"/>
    <w:rsid w:val="004C3C43"/>
    <w:rsid w:val="004C4738"/>
    <w:rsid w:val="005100DF"/>
    <w:rsid w:val="005143BA"/>
    <w:rsid w:val="0052190E"/>
    <w:rsid w:val="00542C3F"/>
    <w:rsid w:val="00587D15"/>
    <w:rsid w:val="00595D80"/>
    <w:rsid w:val="00601640"/>
    <w:rsid w:val="00622646"/>
    <w:rsid w:val="0066044E"/>
    <w:rsid w:val="006704BD"/>
    <w:rsid w:val="006A3169"/>
    <w:rsid w:val="006D0046"/>
    <w:rsid w:val="006F0299"/>
    <w:rsid w:val="007425FD"/>
    <w:rsid w:val="007432BC"/>
    <w:rsid w:val="007477BE"/>
    <w:rsid w:val="00760614"/>
    <w:rsid w:val="00770627"/>
    <w:rsid w:val="007911F9"/>
    <w:rsid w:val="007935E2"/>
    <w:rsid w:val="00796934"/>
    <w:rsid w:val="007D1924"/>
    <w:rsid w:val="007F1C14"/>
    <w:rsid w:val="0080468F"/>
    <w:rsid w:val="00821A58"/>
    <w:rsid w:val="00834B76"/>
    <w:rsid w:val="00886665"/>
    <w:rsid w:val="008C6608"/>
    <w:rsid w:val="008E0D01"/>
    <w:rsid w:val="009B6006"/>
    <w:rsid w:val="00A35DBC"/>
    <w:rsid w:val="00A71803"/>
    <w:rsid w:val="00A8733B"/>
    <w:rsid w:val="00BB4D40"/>
    <w:rsid w:val="00BD43CE"/>
    <w:rsid w:val="00BF599B"/>
    <w:rsid w:val="00C02034"/>
    <w:rsid w:val="00C32550"/>
    <w:rsid w:val="00C66262"/>
    <w:rsid w:val="00C75A96"/>
    <w:rsid w:val="00C87B04"/>
    <w:rsid w:val="00CF0995"/>
    <w:rsid w:val="00CF5201"/>
    <w:rsid w:val="00CF5396"/>
    <w:rsid w:val="00D30387"/>
    <w:rsid w:val="00D679F3"/>
    <w:rsid w:val="00DA64CF"/>
    <w:rsid w:val="00DB16F8"/>
    <w:rsid w:val="00DB1CCE"/>
    <w:rsid w:val="00DD3C8B"/>
    <w:rsid w:val="00DE12A1"/>
    <w:rsid w:val="00DE7935"/>
    <w:rsid w:val="00E5267B"/>
    <w:rsid w:val="00E62FC9"/>
    <w:rsid w:val="00E81B56"/>
    <w:rsid w:val="00EA155B"/>
    <w:rsid w:val="00EA2FB0"/>
    <w:rsid w:val="00EB0D87"/>
    <w:rsid w:val="00EB363B"/>
    <w:rsid w:val="00EE7F00"/>
    <w:rsid w:val="00EF7AB0"/>
    <w:rsid w:val="00F0517A"/>
    <w:rsid w:val="00F53520"/>
    <w:rsid w:val="00F66037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BBCE"/>
  <w15:chartTrackingRefBased/>
  <w15:docId w15:val="{6CCC89F1-EA8D-4FA8-8FC4-A39B31B1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3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C7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7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093"/>
    <w:rPr>
      <w:sz w:val="22"/>
      <w:szCs w:val="22"/>
    </w:rPr>
  </w:style>
  <w:style w:type="paragraph" w:styleId="DocumentMap">
    <w:name w:val="Document Map"/>
    <w:basedOn w:val="Normal"/>
    <w:semiHidden/>
    <w:rsid w:val="006312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53A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651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1B6"/>
  </w:style>
  <w:style w:type="paragraph" w:styleId="CommentSubject">
    <w:name w:val="annotation subject"/>
    <w:basedOn w:val="CommentText"/>
    <w:next w:val="CommentText"/>
    <w:link w:val="CommentSubjectChar"/>
    <w:rsid w:val="00365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1B6"/>
    <w:rPr>
      <w:b/>
      <w:bCs/>
    </w:rPr>
  </w:style>
  <w:style w:type="character" w:styleId="Hyperlink">
    <w:name w:val="Hyperlink"/>
    <w:basedOn w:val="DefaultParagraphFont"/>
    <w:uiPriority w:val="99"/>
    <w:rsid w:val="00432E36"/>
    <w:rPr>
      <w:color w:val="0000FF"/>
      <w:u w:val="single"/>
    </w:rPr>
  </w:style>
  <w:style w:type="table" w:styleId="TableGrid">
    <w:name w:val="Table Grid"/>
    <w:basedOn w:val="TableNormal"/>
    <w:uiPriority w:val="59"/>
    <w:rsid w:val="00E5267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526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267B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42C3F"/>
    <w:rPr>
      <w:i/>
      <w:iCs/>
    </w:rPr>
  </w:style>
  <w:style w:type="character" w:styleId="Strong">
    <w:name w:val="Strong"/>
    <w:basedOn w:val="DefaultParagraphFont"/>
    <w:uiPriority w:val="22"/>
    <w:qFormat/>
    <w:rsid w:val="00542C3F"/>
    <w:rPr>
      <w:b/>
      <w:bCs/>
    </w:rPr>
  </w:style>
  <w:style w:type="paragraph" w:customStyle="1" w:styleId="NoSpacing1">
    <w:name w:val="No Spacing1"/>
    <w:uiPriority w:val="1"/>
    <w:qFormat/>
    <w:rsid w:val="00DA64CF"/>
    <w:rPr>
      <w:sz w:val="22"/>
      <w:szCs w:val="22"/>
    </w:rPr>
  </w:style>
  <w:style w:type="character" w:customStyle="1" w:styleId="hit">
    <w:name w:val="hit"/>
    <w:basedOn w:val="DefaultParagraphFont"/>
    <w:rsid w:val="000C74FF"/>
  </w:style>
  <w:style w:type="character" w:customStyle="1" w:styleId="detailsourcelabel">
    <w:name w:val="detailsourcelabel"/>
    <w:basedOn w:val="DefaultParagraphFont"/>
    <w:rsid w:val="000C74FF"/>
  </w:style>
  <w:style w:type="character" w:customStyle="1" w:styleId="Heading1Char">
    <w:name w:val="Heading 1 Char"/>
    <w:basedOn w:val="DefaultParagraphFont"/>
    <w:link w:val="Heading1"/>
    <w:uiPriority w:val="9"/>
    <w:rsid w:val="000C74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74F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ilesize">
    <w:name w:val="filesize"/>
    <w:basedOn w:val="DefaultParagraphFont"/>
    <w:rsid w:val="000C74FF"/>
  </w:style>
  <w:style w:type="character" w:styleId="HTMLCite">
    <w:name w:val="HTML Cite"/>
    <w:basedOn w:val="DefaultParagraphFont"/>
    <w:uiPriority w:val="99"/>
    <w:unhideWhenUsed/>
    <w:rsid w:val="00EF7AB0"/>
    <w:rPr>
      <w:i/>
      <w:iCs/>
    </w:rPr>
  </w:style>
  <w:style w:type="character" w:customStyle="1" w:styleId="citationyear">
    <w:name w:val="citation_year"/>
    <w:basedOn w:val="DefaultParagraphFont"/>
    <w:rsid w:val="00EF7AB0"/>
  </w:style>
  <w:style w:type="character" w:customStyle="1" w:styleId="citationvolume">
    <w:name w:val="citation_volume"/>
    <w:basedOn w:val="DefaultParagraphFont"/>
    <w:rsid w:val="00EF7AB0"/>
  </w:style>
  <w:style w:type="paragraph" w:styleId="Header">
    <w:name w:val="header"/>
    <w:basedOn w:val="Normal"/>
    <w:link w:val="HeaderChar"/>
    <w:rsid w:val="00E81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B5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81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B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</Company>
  <LinksUpToDate>false</LinksUpToDate>
  <CharactersWithSpaces>1633</CharactersWithSpaces>
  <SharedDoc>false</SharedDoc>
  <HLinks>
    <vt:vector size="6" baseType="variant">
      <vt:variant>
        <vt:i4>3407949</vt:i4>
      </vt:variant>
      <vt:variant>
        <vt:i4>0</vt:i4>
      </vt:variant>
      <vt:variant>
        <vt:i4>0</vt:i4>
      </vt:variant>
      <vt:variant>
        <vt:i4>5</vt:i4>
      </vt:variant>
      <vt:variant>
        <vt:lpwstr>mailto:grant@chem.utah.edu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bcairns</dc:creator>
  <cp:keywords/>
  <cp:lastModifiedBy>Peter F. Flynn</cp:lastModifiedBy>
  <cp:revision>5</cp:revision>
  <dcterms:created xsi:type="dcterms:W3CDTF">2016-11-22T17:19:00Z</dcterms:created>
  <dcterms:modified xsi:type="dcterms:W3CDTF">2016-11-22T17:47:00Z</dcterms:modified>
</cp:coreProperties>
</file>